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F3" w:rsidRDefault="00E208F3" w:rsidP="00E208F3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浙江音乐学院</w:t>
      </w:r>
    </w:p>
    <w:p w:rsidR="00E208F3" w:rsidRDefault="00E208F3" w:rsidP="00E208F3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李叔同学院（筹）学生选拔施行方案</w:t>
      </w:r>
    </w:p>
    <w:p w:rsidR="00E208F3" w:rsidRDefault="00E208F3" w:rsidP="00E208F3">
      <w:pPr>
        <w:spacing w:line="5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E208F3" w:rsidRDefault="00E208F3" w:rsidP="00E208F3">
      <w:pPr>
        <w:adjustRightInd w:val="0"/>
        <w:snapToGrid w:val="0"/>
        <w:spacing w:line="560" w:lineRule="exact"/>
        <w:ind w:firstLineChars="250" w:firstLine="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为了加强对特别专长学生的针对性培养，因材施教，探索促其早日成长成才的有效途径和方法，李叔同学院（筹）自2018年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始启动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试行学生选拔与培养工作。学院将秉承李叔同先生“促社会之健全”、“感精神之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粹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美”的音乐教育理想，遵循“事必尽善”校训精神，依托浙江音乐学院强大的学科专业资源和高水平师资力量，以通识教育、专业教学、艺术实践相结合，积极探索构建符合高层次专业音乐艺术人才成长规律的多元化、个性化人才培养新模式，为将特别专长学生培养成为“厚基础、宽口径，德才兼备、德艺双馨”的优秀人才打下坚实基础，助推早日“成名成家”。</w:t>
      </w:r>
    </w:p>
    <w:p w:rsidR="00E208F3" w:rsidRDefault="00E208F3" w:rsidP="00E208F3">
      <w:pPr>
        <w:spacing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一、培养模式架构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进入李叔同学院（筹）学习的学生，将由特定的专家组为每一位学生根据学生特点和专业要求，以现有本科课程体系为依托，通识教育、专业教学、艺术实践相结合，“一人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策”、“量体裁衣”制定个性化培养方案，力求从“宽”与“深”两个维度去培养和提升每一位学生的个性与能力，以求更有效率地达到培养目标，其中，“宽”即拓展知识面，拓宽视野，增强学生思维能力，培养团队精神和沟通能力;“深”即加强专业理解，加深自我认知，大幅度提升学生的专业素养与能力，增加比赛经验，增强对舞台的把控能力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1.通识教育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主要通过设立叔同学堂，将阅读、欣赏、聆听、借鉴、思考等列为李叔同学院（筹）学生横向学习的主要内容，进一步强化学生的通识教育，提升学生的人文素养。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叔同学堂的具体课程主要包括阅读与鉴赏两个模块，其中：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阅读模块：</w:t>
      </w:r>
      <w:r>
        <w:rPr>
          <w:rFonts w:ascii="仿宋_GB2312" w:eastAsia="仿宋_GB2312" w:hAnsi="Times New Roman" w:hint="eastAsia"/>
          <w:sz w:val="32"/>
          <w:szCs w:val="32"/>
        </w:rPr>
        <w:t>根据有计划地推荐书目清单，学生可根据自身的专业与兴趣，自选书目进行广泛阅读。同时以5-8名学生为一个读书小组，由老师指导进行精读，并在读书小组内以读书报告或小组织讨论的方式进行考核。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鉴赏模块：</w:t>
      </w:r>
      <w:r>
        <w:rPr>
          <w:rFonts w:ascii="仿宋_GB2312" w:eastAsia="仿宋_GB2312" w:hAnsi="Times New Roman" w:hint="eastAsia"/>
          <w:sz w:val="32"/>
          <w:szCs w:val="32"/>
        </w:rPr>
        <w:t>李叔同学院（筹）将与各系一起，为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同年级的学生挑选出最具有专业特色的经典书目、音乐会音视频，歌曲专辑、录音等，组织学生在多媒体教室集中观摩，并定期组织学生去观看高水平现场演出等，加深现场感受，提高学生的音乐鉴赏能力。同时由授课教师在每次观摩后组织学生对现场演出进行分析、讨论，以提交鉴赏报告的形式进行考核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2.专业教学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李叔同学院（筹）聘请校内外优秀专业导师，与学生所在系原有专业课教师共同组成导师小组（一般为双导师或三导师），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采用会课教学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与模块化教学相结合的教学模式，进一步强化学生的专业素养，提升专业技能。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proofErr w:type="gramStart"/>
      <w:r>
        <w:rPr>
          <w:rFonts w:ascii="仿宋_GB2312" w:eastAsia="仿宋_GB2312" w:hAnsi="Times New Roman" w:hint="eastAsia"/>
          <w:b/>
          <w:sz w:val="32"/>
          <w:szCs w:val="32"/>
        </w:rPr>
        <w:t>会课教学</w:t>
      </w:r>
      <w:proofErr w:type="gramEnd"/>
      <w:r>
        <w:rPr>
          <w:rFonts w:ascii="仿宋_GB2312" w:eastAsia="仿宋_GB2312" w:hAnsi="Times New Roman" w:hint="eastAsia"/>
          <w:b/>
          <w:sz w:val="32"/>
          <w:szCs w:val="32"/>
        </w:rPr>
        <w:t>：</w:t>
      </w:r>
      <w:r>
        <w:rPr>
          <w:rFonts w:ascii="仿宋_GB2312" w:eastAsia="仿宋_GB2312" w:hAnsi="Times New Roman" w:hint="eastAsia"/>
          <w:sz w:val="32"/>
          <w:szCs w:val="32"/>
        </w:rPr>
        <w:t>主要是以多对一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的会课形式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对学生进行每月一次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的会课指导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每次会课指导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时间为2课时。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会课形式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根据专业方向不同涵盖不同内容，其中：音乐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学方向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主要为学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术研究与讨论，作曲方向主要为作品分析与点评；表演方向主要为技术提升与舞台表演指导；教育学方向为教学技能指导与提升。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会课过程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中，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参与会课的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导师将根据每位学生的学习进度及技能掌握情况，共同研究制订学生下一阶段的学习课程安排，并对学生提出相应的意见建设。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模块化教学：</w:t>
      </w:r>
      <w:r>
        <w:rPr>
          <w:rFonts w:ascii="仿宋_GB2312" w:eastAsia="仿宋_GB2312" w:hAnsi="Times New Roman" w:hint="eastAsia"/>
          <w:sz w:val="32"/>
          <w:szCs w:val="32"/>
        </w:rPr>
        <w:t>导师小组将会根据每位学生的专业课程特点及标准要求，将相关课程拆分为若干个不同的教学模块，并根据每一位导师所侧重的研究方向与擅长领域，结合学生的学习进度及发展需求，与学生所在系内主教导师协同进行模块化授课。以钢琴表演专业为例，学生在学习演奏巴赫作品时，由善于指导巴赫作品的导师参与辅导；而在演奏肖邦作品时，则由善于指导肖邦作品的导师参与辅导。</w:t>
      </w:r>
    </w:p>
    <w:tbl>
      <w:tblPr>
        <w:tblpPr w:leftFromText="180" w:rightFromText="180" w:vertAnchor="text" w:tblpX="10214" w:tblpY="-7601"/>
        <w:tblOverlap w:val="never"/>
        <w:tblW w:w="2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4"/>
      </w:tblGrid>
      <w:tr w:rsidR="00E208F3" w:rsidTr="00D4626C">
        <w:trPr>
          <w:trHeight w:val="30"/>
        </w:trPr>
        <w:tc>
          <w:tcPr>
            <w:tcW w:w="2404" w:type="dxa"/>
          </w:tcPr>
          <w:p w:rsidR="00E208F3" w:rsidRDefault="00E208F3" w:rsidP="00D4626C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</w:tbl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3.艺术实践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李叔同学院（筹）将为每位学生提供更多的参与各类国内外专业比赛、演出、出国访学交流等机会，以进一步提升学生的舞台表演技能，拓宽国际视野。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bookmarkStart w:id="0" w:name="OLE_LINK7"/>
      <w:bookmarkStart w:id="1" w:name="OLE_LINK8"/>
      <w:r>
        <w:rPr>
          <w:rFonts w:ascii="仿宋_GB2312" w:eastAsia="仿宋_GB2312" w:hAnsi="Times New Roman" w:hint="eastAsia"/>
          <w:b/>
          <w:sz w:val="32"/>
          <w:szCs w:val="32"/>
        </w:rPr>
        <w:t>专业比赛及演出。</w:t>
      </w:r>
      <w:bookmarkEnd w:id="0"/>
      <w:bookmarkEnd w:id="1"/>
      <w:r>
        <w:rPr>
          <w:rFonts w:ascii="仿宋_GB2312" w:eastAsia="仿宋_GB2312" w:hAnsi="Times New Roman" w:hint="eastAsia"/>
          <w:sz w:val="32"/>
          <w:szCs w:val="32"/>
        </w:rPr>
        <w:t>表演方向的学生，要求每学期至少参与一次实践演出。同时，学生的指导教师将与学生一同搜集、联系国内外各大重要的艺术活动与比赛，鼓励并支持学生参与，并力争在各类国内外重大比赛中获得殊荣。非表演方向的学生，将为其提供更多参与校外专业学术交流活动、学术研讨会的机会，以提升其学术能力和水平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艺术实践周活动：</w:t>
      </w:r>
      <w:r>
        <w:rPr>
          <w:rFonts w:ascii="仿宋_GB2312" w:eastAsia="仿宋_GB2312" w:hAnsi="Times New Roman" w:hint="eastAsia"/>
          <w:sz w:val="32"/>
          <w:szCs w:val="32"/>
        </w:rPr>
        <w:t>计划于每年5月份第三周举办实践周活动，组织学生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赴国内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兄弟院校演出或交流。各</w:t>
      </w:r>
      <w:proofErr w:type="gramStart"/>
      <w:r>
        <w:rPr>
          <w:rFonts w:ascii="仿宋_GB2312" w:eastAsia="仿宋_GB2312" w:hAnsi="Times New Roman" w:hint="eastAsia"/>
          <w:sz w:val="32"/>
          <w:szCs w:val="32"/>
        </w:rPr>
        <w:t>类实践周</w:t>
      </w:r>
      <w:proofErr w:type="gramEnd"/>
      <w:r>
        <w:rPr>
          <w:rFonts w:ascii="仿宋_GB2312" w:eastAsia="仿宋_GB2312" w:hAnsi="Times New Roman" w:hint="eastAsia"/>
          <w:sz w:val="32"/>
          <w:szCs w:val="32"/>
        </w:rPr>
        <w:t>活</w:t>
      </w:r>
      <w:r>
        <w:rPr>
          <w:rFonts w:ascii="仿宋_GB2312" w:eastAsia="仿宋_GB2312" w:hAnsi="Times New Roman" w:hint="eastAsia"/>
          <w:sz w:val="32"/>
          <w:szCs w:val="32"/>
        </w:rPr>
        <w:lastRenderedPageBreak/>
        <w:t>动的策划、组织与实施，都在将导师的指导下，由学生自主完成，以进一步增养提升学生的活动组织能力、创新能力和团队精神。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国外交换生计划：</w:t>
      </w:r>
      <w:r>
        <w:rPr>
          <w:rFonts w:ascii="仿宋_GB2312" w:eastAsia="仿宋_GB2312" w:hAnsi="Times New Roman" w:hint="eastAsia"/>
          <w:sz w:val="32"/>
          <w:szCs w:val="32"/>
        </w:rPr>
        <w:t>加大资助力度，为外语优秀学生提供赴国际高水平音乐学院进行交流、学习、实践演出等机会，以进一步提升学生的国际视野，培养国际化人才。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4.</w:t>
      </w:r>
      <w:r>
        <w:rPr>
          <w:rFonts w:ascii="仿宋_GB2312" w:eastAsia="仿宋_GB2312" w:hAnsi="Times New Roman" w:hint="eastAsia"/>
          <w:b/>
          <w:sz w:val="32"/>
          <w:szCs w:val="32"/>
          <w:lang w:val="zh-TW"/>
        </w:rPr>
        <w:t>拓展服务</w:t>
      </w:r>
    </w:p>
    <w:p w:rsidR="00E208F3" w:rsidRDefault="00E208F3" w:rsidP="00E208F3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  <w:lang w:val="zh-TW"/>
        </w:rPr>
      </w:pPr>
      <w:r>
        <w:rPr>
          <w:rFonts w:ascii="仿宋" w:eastAsia="仿宋" w:hAnsi="仿宋" w:cs="仿宋" w:hint="eastAsia"/>
          <w:sz w:val="32"/>
          <w:szCs w:val="32"/>
          <w:lang w:val="zh-TW"/>
        </w:rPr>
        <w:t>李叔同学院（筹）将为院内学生在媒体推介、</w:t>
      </w:r>
      <w:r>
        <w:rPr>
          <w:rFonts w:ascii="仿宋" w:eastAsia="仿宋" w:hAnsi="仿宋" w:cs="仿宋" w:hint="eastAsia"/>
          <w:sz w:val="32"/>
          <w:szCs w:val="32"/>
        </w:rPr>
        <w:t>考研及出国深造等方面创造</w:t>
      </w:r>
      <w:r>
        <w:rPr>
          <w:rFonts w:ascii="仿宋" w:eastAsia="仿宋" w:hAnsi="仿宋" w:cs="仿宋" w:hint="eastAsia"/>
          <w:sz w:val="32"/>
          <w:szCs w:val="32"/>
          <w:lang w:val="zh-TW"/>
        </w:rPr>
        <w:t>机会。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100" w:firstLine="321"/>
        <w:rPr>
          <w:rFonts w:ascii="仿宋_GB2312" w:eastAsia="仿宋_GB2312" w:hAnsi="Times New Roman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Times New Roman" w:hint="eastAsia"/>
          <w:b/>
          <w:sz w:val="32"/>
          <w:szCs w:val="32"/>
        </w:rPr>
        <w:t>比赛与演出实践资助：</w:t>
      </w:r>
      <w:r>
        <w:rPr>
          <w:rFonts w:ascii="仿宋_GB2312" w:eastAsia="仿宋_GB2312" w:hAnsi="Times New Roman" w:hint="eastAsia"/>
          <w:sz w:val="32"/>
          <w:szCs w:val="32"/>
        </w:rPr>
        <w:t>每年将推荐学生参加各类国家级及文化部认证的国际A/B类比赛。学生若在相关比赛中获得国家级三等奖以上、国际级优胜奖以上名次，将优先推荐获得赴国外交换、交流学习的机会。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媒体推介：</w:t>
      </w:r>
      <w:r>
        <w:rPr>
          <w:rFonts w:ascii="仿宋_GB2312" w:eastAsia="仿宋_GB2312" w:hAnsi="Times New Roman" w:hint="eastAsia"/>
          <w:sz w:val="32"/>
          <w:szCs w:val="32"/>
        </w:rPr>
        <w:t>将通过报纸、电视、网络等多方面对优秀学员进行媒体推介，推进学生实现“成名成家”的培养目标。</w:t>
      </w:r>
    </w:p>
    <w:p w:rsidR="00E208F3" w:rsidRDefault="00E208F3" w:rsidP="00E208F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推介标准评定：国家级比赛三等奖及以上；国际比赛优秀奖及以上获得者。</w:t>
      </w:r>
    </w:p>
    <w:p w:rsidR="00E208F3" w:rsidRDefault="00E208F3" w:rsidP="00E208F3">
      <w:pPr>
        <w:spacing w:line="560" w:lineRule="exact"/>
        <w:ind w:firstLineChars="200" w:firstLine="643"/>
        <w:jc w:val="left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/>
          <w:sz w:val="32"/>
          <w:szCs w:val="32"/>
        </w:rPr>
        <w:t>选拔方案</w:t>
      </w:r>
    </w:p>
    <w:p w:rsidR="00E208F3" w:rsidRDefault="00E208F3" w:rsidP="00E208F3">
      <w:pPr>
        <w:spacing w:line="560" w:lineRule="exact"/>
        <w:ind w:firstLineChars="196" w:firstLine="63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1.选拔方向与要求</w:t>
      </w:r>
    </w:p>
    <w:p w:rsidR="00E208F3" w:rsidRDefault="00E208F3" w:rsidP="00E208F3">
      <w:pPr>
        <w:spacing w:line="560" w:lineRule="exact"/>
        <w:ind w:firstLineChars="196" w:firstLine="627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根据不同的专业（方向）设立不同的要求：</w:t>
      </w: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作曲与作曲技术理论、音乐设计与制作方向：</w:t>
      </w:r>
      <w:r>
        <w:rPr>
          <w:rFonts w:ascii="仿宋" w:eastAsia="仿宋" w:hAnsi="仿宋" w:cs="仿宋" w:hint="eastAsia"/>
          <w:sz w:val="32"/>
          <w:szCs w:val="32"/>
        </w:rPr>
        <w:t>具有很好的音乐想象与创造能力，具有较强的音乐创作（制作）技术，从事音乐创作与制作的专门型人才。</w:t>
      </w: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器乐（国乐、西洋、钢琴、流行）演奏、声乐（美声、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民族、流行、越剧）演唱、舞蹈表演方向：</w:t>
      </w:r>
      <w:r>
        <w:rPr>
          <w:rFonts w:ascii="仿宋" w:eastAsia="仿宋" w:hAnsi="仿宋" w:cs="仿宋" w:hint="eastAsia"/>
          <w:sz w:val="32"/>
          <w:szCs w:val="32"/>
        </w:rPr>
        <w:t>具备全面的舞台表演能力、崇高的艺术修养、创作与二度创作的专业技能，同时适应现代技术与传媒手段，并能一定程度上担任教学与研究工作的专门型人才。</w:t>
      </w: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音乐学方向：</w:t>
      </w:r>
      <w:r>
        <w:rPr>
          <w:rFonts w:ascii="仿宋" w:eastAsia="仿宋" w:hAnsi="仿宋" w:cs="仿宋" w:hint="eastAsia"/>
          <w:sz w:val="32"/>
          <w:szCs w:val="32"/>
        </w:rPr>
        <w:t>具备较全面的史学、作曲技法等音乐理论知识和较高的音乐学写作能力，能够从事音乐艺术研究、评论等工作的高级专门人才。</w:t>
      </w: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音乐、舞蹈教育方向：</w:t>
      </w:r>
      <w:r>
        <w:rPr>
          <w:rFonts w:ascii="仿宋" w:eastAsia="仿宋" w:hAnsi="仿宋" w:cs="仿宋" w:hint="eastAsia"/>
          <w:sz w:val="32"/>
          <w:szCs w:val="32"/>
        </w:rPr>
        <w:t>全面的掌握音乐教育、舞蹈教育的基础理论，具备专业舞台表演基本技能，同时兼具创新、实践教育教学技能的高素质音乐教育工作者。</w:t>
      </w:r>
    </w:p>
    <w:p w:rsidR="00E208F3" w:rsidRDefault="00E208F3" w:rsidP="00E208F3">
      <w:pPr>
        <w:pStyle w:val="a5"/>
        <w:spacing w:line="560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2.报名对象及招生计划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不限专业方向的学生，如符合李叔同学院（筹）的招选要求，即可报名。根据评审专家的意见，某专业暂时无符合要求的学生，宁缺毋滥，该专业名额暂停选拔招生。</w:t>
      </w:r>
    </w:p>
    <w:p w:rsidR="00E208F3" w:rsidRDefault="00E208F3" w:rsidP="00E208F3">
      <w:pPr>
        <w:pStyle w:val="a5"/>
        <w:spacing w:line="560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3.报名程序</w:t>
      </w:r>
    </w:p>
    <w:p w:rsidR="00E208F3" w:rsidRDefault="00E208F3" w:rsidP="00E208F3">
      <w:pPr>
        <w:spacing w:line="560" w:lineRule="exact"/>
        <w:ind w:left="41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报名方式分为“自主推荐”和“系部推荐”两种。</w:t>
      </w:r>
    </w:p>
    <w:p w:rsidR="00E208F3" w:rsidRDefault="00E208F3" w:rsidP="00E208F3">
      <w:pPr>
        <w:tabs>
          <w:tab w:val="left" w:pos="312"/>
        </w:tabs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自主推荐：</w:t>
      </w:r>
      <w:r>
        <w:rPr>
          <w:rFonts w:ascii="仿宋" w:eastAsia="仿宋" w:hAnsi="仿宋" w:cs="仿宋" w:hint="eastAsia"/>
          <w:sz w:val="32"/>
          <w:szCs w:val="32"/>
        </w:rPr>
        <w:t>李叔同学院（筹）将于每年春季学期开学发布选拔信息，由学生自愿报名。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报名条件：（第</w:t>
      </w: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1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2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3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条为必要条件，若符合第</w:t>
      </w: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4</w:t>
      </w:r>
      <w:r>
        <w:rPr>
          <w:rFonts w:eastAsia="仿宋" w:cs="Calibri" w:hint="eastAsia"/>
          <w:sz w:val="32"/>
          <w:szCs w:val="32"/>
        </w:rPr>
        <w:t>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条可作为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优先考虑对象）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1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思想品德端正优秀。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2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入校每次期末考试外语成绩均80分以上（16级提供校内3次期末考试成绩，17级提供校内1次期末考试成绩）。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3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校考与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校内的每次期末考试专业主干课排名始终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保持在年级前15%以内。（16级提供校内3次期末考试成绩，17级提供校内1次期末考试成绩）。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4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表演类专业:</w:t>
      </w:r>
      <w:r>
        <w:rPr>
          <w:rFonts w:ascii="仿宋" w:eastAsia="仿宋" w:hAnsi="仿宋" w:cs="仿宋" w:hint="eastAsia"/>
          <w:sz w:val="32"/>
          <w:szCs w:val="32"/>
        </w:rPr>
        <w:t>在校期间参加过一次及以上的文化部认证A/B类比赛、省级或国家级政府比赛（附参赛证明）。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非表演类专业：</w:t>
      </w:r>
      <w:r>
        <w:rPr>
          <w:rFonts w:ascii="仿宋" w:eastAsia="仿宋" w:hAnsi="仿宋" w:cs="仿宋" w:hint="eastAsia"/>
          <w:sz w:val="32"/>
          <w:szCs w:val="32"/>
        </w:rPr>
        <w:t>学术期刊发表文章（附复印件佐证）或专业领域内的重要赛事参赛经历（附参赛证明）。</w:t>
      </w:r>
    </w:p>
    <w:p w:rsidR="00E208F3" w:rsidRDefault="00E208F3" w:rsidP="00E208F3">
      <w:pPr>
        <w:spacing w:line="560" w:lineRule="exact"/>
        <w:ind w:left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报名材料：</w:t>
      </w:r>
      <w:r>
        <w:rPr>
          <w:rFonts w:ascii="仿宋" w:eastAsia="仿宋" w:hAnsi="仿宋" w:cs="仿宋" w:hint="eastAsia"/>
          <w:sz w:val="32"/>
          <w:szCs w:val="32"/>
        </w:rPr>
        <w:t>请将以下材料于3月8日-20日之间提交到李叔同学院（筹）教务办公室季老师处。材料要求：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《2018年度李叔同学院（筹）选报学生自荐表》；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专业主干课与英语成绩单，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需系部盖章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获奖证书复印件。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系部推荐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表演专业：</w:t>
      </w:r>
      <w:r>
        <w:rPr>
          <w:rFonts w:ascii="仿宋" w:eastAsia="仿宋" w:hAnsi="仿宋" w:cs="仿宋" w:hint="eastAsia"/>
          <w:sz w:val="32"/>
          <w:szCs w:val="32"/>
        </w:rPr>
        <w:t>针对已参加并获得文化部认证的A/B类比赛优胜奖与国家级政府奖三等奖以上、省级政府奖（包括金钟奖与新松计划）一等奖的，或是流行系内部获得认可的专业比赛中取得优秀成绩的学生；</w:t>
      </w: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非表演专业：作曲与作曲技术理论、音乐设计与制作方向：</w:t>
      </w:r>
      <w:r>
        <w:rPr>
          <w:rFonts w:ascii="仿宋" w:eastAsia="仿宋" w:hAnsi="仿宋" w:cs="仿宋" w:hint="eastAsia"/>
          <w:sz w:val="32"/>
          <w:szCs w:val="32"/>
        </w:rPr>
        <w:t>创作作品获奖；在核心期刊上发表文章；国家级政府比赛中获得三等奖以上。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音乐学：</w:t>
      </w:r>
      <w:r>
        <w:rPr>
          <w:rFonts w:ascii="仿宋" w:eastAsia="仿宋" w:hAnsi="仿宋" w:cs="仿宋" w:hint="eastAsia"/>
          <w:sz w:val="32"/>
          <w:szCs w:val="32"/>
        </w:rPr>
        <w:t>在核心学术期刊发表过学术研究成果及在国家级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政府比扫中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获得三等奖以上；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音教、舞教：</w:t>
      </w:r>
      <w:r>
        <w:rPr>
          <w:rFonts w:ascii="仿宋" w:eastAsia="仿宋" w:hAnsi="仿宋" w:cs="仿宋" w:hint="eastAsia"/>
          <w:sz w:val="32"/>
          <w:szCs w:val="32"/>
        </w:rPr>
        <w:t>获得国际A/B类比赛优胜奖与国家级政府奖三等奖以上；在核心期刊上发表学术文章；获得全国教师基本功名次的学生。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符合以上情况并满足以下推荐条件的学生，可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采取系部推荐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的方式，经由导师团队审核通过可破格录取。</w:t>
      </w:r>
    </w:p>
    <w:p w:rsidR="00E208F3" w:rsidRDefault="00E208F3" w:rsidP="00E208F3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推荐条件：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 思想品德端正优秀；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2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无文化课补考或重修记录；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eastAsia="仿宋" w:cs="Calibri" w:hint="eastAsia"/>
          <w:sz w:val="32"/>
          <w:szCs w:val="32"/>
        </w:rPr>
        <w:t>（</w:t>
      </w:r>
      <w:r>
        <w:rPr>
          <w:rFonts w:eastAsia="仿宋" w:cs="Calibri" w:hint="eastAsia"/>
          <w:sz w:val="32"/>
          <w:szCs w:val="32"/>
        </w:rPr>
        <w:t>3</w:t>
      </w:r>
      <w:r>
        <w:rPr>
          <w:rFonts w:eastAsia="仿宋" w:cs="Calibri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 xml:space="preserve">同时获得辅导员、专业导师、系主任同时推荐。      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报名流程：请将以下材料于3月8日-20日之间提交到李叔同学院（筹）教务办公室季老师处。材料要求：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《李叔同学院（筹）选报系部推荐表》；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入学以来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学期专业主干课程及英语成绩单，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需系部盖章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获奖证书复印件。</w:t>
      </w:r>
    </w:p>
    <w:p w:rsidR="00E208F3" w:rsidRDefault="00E208F3" w:rsidP="00E208F3">
      <w:pPr>
        <w:pStyle w:val="a5"/>
        <w:spacing w:line="560" w:lineRule="exact"/>
        <w:ind w:firstLineChars="100" w:firstLine="321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工作安排</w:t>
      </w: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1.报名时间：2018年3月8日—20日</w:t>
      </w: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2.初审时间：2018年3月21日—23日</w:t>
      </w: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3.网上公布复试名单：2018年3月24日</w:t>
      </w: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4.复试时间：2018年3月26日—27日</w:t>
      </w: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5.拟入选名单公示：初定2018年3月底（由院长办公会审定时间为准）</w:t>
      </w: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</w:p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6.选拔程序</w:t>
      </w:r>
    </w:p>
    <w:tbl>
      <w:tblPr>
        <w:tblStyle w:val="a4"/>
        <w:tblpPr w:leftFromText="180" w:rightFromText="180" w:vertAnchor="text" w:horzAnchor="page" w:tblpX="1462" w:tblpY="88"/>
        <w:tblOverlap w:val="never"/>
        <w:tblW w:w="10205" w:type="dxa"/>
        <w:tblLayout w:type="fixed"/>
        <w:tblLook w:val="04A0"/>
      </w:tblPr>
      <w:tblGrid>
        <w:gridCol w:w="485"/>
        <w:gridCol w:w="1245"/>
        <w:gridCol w:w="1237"/>
        <w:gridCol w:w="1237"/>
        <w:gridCol w:w="1133"/>
        <w:gridCol w:w="1698"/>
        <w:gridCol w:w="1229"/>
        <w:gridCol w:w="1941"/>
      </w:tblGrid>
      <w:tr w:rsidR="00E208F3" w:rsidTr="00D4626C">
        <w:trPr>
          <w:trHeight w:val="374"/>
        </w:trPr>
        <w:tc>
          <w:tcPr>
            <w:tcW w:w="485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lastRenderedPageBreak/>
              <w:t>号</w:t>
            </w:r>
          </w:p>
        </w:tc>
        <w:tc>
          <w:tcPr>
            <w:tcW w:w="1245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lastRenderedPageBreak/>
              <w:t>专业方向</w:t>
            </w:r>
          </w:p>
        </w:tc>
        <w:tc>
          <w:tcPr>
            <w:tcW w:w="2474" w:type="dxa"/>
            <w:gridSpan w:val="2"/>
            <w:vAlign w:val="center"/>
          </w:tcPr>
          <w:p w:rsidR="00E208F3" w:rsidRDefault="00E208F3" w:rsidP="00D4626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初试</w:t>
            </w:r>
          </w:p>
        </w:tc>
        <w:tc>
          <w:tcPr>
            <w:tcW w:w="4060" w:type="dxa"/>
            <w:gridSpan w:val="3"/>
            <w:vAlign w:val="center"/>
          </w:tcPr>
          <w:p w:rsidR="00E208F3" w:rsidRDefault="00E208F3" w:rsidP="00D4626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复试</w:t>
            </w:r>
          </w:p>
        </w:tc>
        <w:tc>
          <w:tcPr>
            <w:tcW w:w="1941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录取</w:t>
            </w:r>
          </w:p>
        </w:tc>
      </w:tr>
      <w:tr w:rsidR="00E208F3" w:rsidTr="00D4626C">
        <w:trPr>
          <w:trHeight w:val="260"/>
        </w:trPr>
        <w:tc>
          <w:tcPr>
            <w:tcW w:w="485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45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外语成绩</w:t>
            </w:r>
          </w:p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审核</w:t>
            </w:r>
          </w:p>
        </w:tc>
        <w:tc>
          <w:tcPr>
            <w:tcW w:w="1237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专业主干课成绩审核</w:t>
            </w:r>
          </w:p>
        </w:tc>
        <w:tc>
          <w:tcPr>
            <w:tcW w:w="1133" w:type="dxa"/>
            <w:vAlign w:val="center"/>
          </w:tcPr>
          <w:p w:rsidR="00E208F3" w:rsidRDefault="00E208F3" w:rsidP="00D4626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英语口试</w:t>
            </w:r>
          </w:p>
        </w:tc>
        <w:tc>
          <w:tcPr>
            <w:tcW w:w="1698" w:type="dxa"/>
            <w:vAlign w:val="center"/>
          </w:tcPr>
          <w:p w:rsidR="00E208F3" w:rsidRDefault="00E208F3" w:rsidP="00D4626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专业测试</w:t>
            </w:r>
          </w:p>
        </w:tc>
        <w:tc>
          <w:tcPr>
            <w:tcW w:w="1229" w:type="dxa"/>
            <w:vAlign w:val="center"/>
          </w:tcPr>
          <w:p w:rsidR="00E208F3" w:rsidRDefault="00E208F3" w:rsidP="00D4626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面试</w:t>
            </w:r>
          </w:p>
        </w:tc>
        <w:tc>
          <w:tcPr>
            <w:tcW w:w="1941" w:type="dxa"/>
            <w:vMerge/>
            <w:vAlign w:val="center"/>
          </w:tcPr>
          <w:p w:rsidR="00E208F3" w:rsidRDefault="00E208F3" w:rsidP="00D4626C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</w:tr>
      <w:tr w:rsidR="00E208F3" w:rsidTr="00D4626C">
        <w:trPr>
          <w:trHeight w:val="354"/>
        </w:trPr>
        <w:tc>
          <w:tcPr>
            <w:tcW w:w="48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lastRenderedPageBreak/>
              <w:t>1</w:t>
            </w:r>
          </w:p>
        </w:tc>
        <w:tc>
          <w:tcPr>
            <w:tcW w:w="124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作曲与作曲技术理论、音乐设计与制作方向</w:t>
            </w:r>
          </w:p>
        </w:tc>
        <w:tc>
          <w:tcPr>
            <w:tcW w:w="1237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校内期末考试平均分80以上</w:t>
            </w:r>
          </w:p>
        </w:tc>
        <w:tc>
          <w:tcPr>
            <w:tcW w:w="1237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校内期末考试排名在年级前15%以内</w:t>
            </w:r>
          </w:p>
        </w:tc>
        <w:tc>
          <w:tcPr>
            <w:tcW w:w="1133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1.一分钟自我介绍</w:t>
            </w:r>
          </w:p>
          <w:p w:rsidR="00E208F3" w:rsidRDefault="00E208F3" w:rsidP="00E208F3">
            <w:pPr>
              <w:spacing w:line="560" w:lineRule="exact"/>
              <w:ind w:left="201" w:hangingChars="100" w:hanging="201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2.问答考官提问</w:t>
            </w:r>
          </w:p>
        </w:tc>
        <w:tc>
          <w:tcPr>
            <w:tcW w:w="1698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一首个人作品表演</w:t>
            </w:r>
            <w:bookmarkStart w:id="2" w:name="_GoBack"/>
            <w:bookmarkEnd w:id="2"/>
            <w:r>
              <w:rPr>
                <w:rFonts w:ascii="仿宋" w:eastAsia="仿宋" w:hAnsi="仿宋" w:cs="仿宋" w:hint="eastAsia"/>
                <w:szCs w:val="21"/>
              </w:rPr>
              <w:t>评审</w:t>
            </w:r>
          </w:p>
        </w:tc>
        <w:tc>
          <w:tcPr>
            <w:tcW w:w="1229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1.自我介绍</w:t>
            </w:r>
          </w:p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2.回答考官提问</w:t>
            </w:r>
          </w:p>
        </w:tc>
        <w:tc>
          <w:tcPr>
            <w:tcW w:w="1941" w:type="dxa"/>
            <w:vMerge w:val="restart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依照复试口语成绩20%+专业测试成绩60%+面试20%的计算方式，得出总成绩进行排名，录取一个专业内总成绩排名第一的学生。若某一专业在专家评审的认定下，暂时无合适人选，则该专业彼此选拔名额空缺。</w:t>
            </w:r>
          </w:p>
        </w:tc>
      </w:tr>
      <w:tr w:rsidR="00E208F3" w:rsidTr="00D4626C">
        <w:trPr>
          <w:trHeight w:val="354"/>
        </w:trPr>
        <w:tc>
          <w:tcPr>
            <w:tcW w:w="48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2</w:t>
            </w:r>
          </w:p>
        </w:tc>
        <w:tc>
          <w:tcPr>
            <w:tcW w:w="124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器乐演奏、声乐表演、舞蹈表演</w:t>
            </w:r>
          </w:p>
        </w:tc>
        <w:tc>
          <w:tcPr>
            <w:tcW w:w="1237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37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器乐演奏：</w:t>
            </w:r>
            <w:r>
              <w:rPr>
                <w:rFonts w:ascii="仿宋" w:eastAsia="仿宋" w:hAnsi="仿宋" w:cs="仿宋" w:hint="eastAsia"/>
                <w:szCs w:val="21"/>
              </w:rPr>
              <w:t>自选，一首练习曲，一首乐曲</w:t>
            </w:r>
          </w:p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声乐表演：</w:t>
            </w:r>
            <w:r>
              <w:rPr>
                <w:rFonts w:ascii="仿宋" w:eastAsia="仿宋" w:hAnsi="仿宋" w:cs="仿宋" w:hint="eastAsia"/>
                <w:szCs w:val="21"/>
              </w:rPr>
              <w:t>自选，一首艺术歌曲，一首咏叹调</w:t>
            </w:r>
          </w:p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舞蹈表演：</w:t>
            </w:r>
            <w:r>
              <w:rPr>
                <w:rFonts w:ascii="仿宋" w:eastAsia="仿宋" w:hAnsi="仿宋" w:cs="仿宋" w:hint="eastAsia"/>
                <w:szCs w:val="21"/>
              </w:rPr>
              <w:t>一支独舞</w:t>
            </w:r>
          </w:p>
        </w:tc>
        <w:tc>
          <w:tcPr>
            <w:tcW w:w="1229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E208F3" w:rsidTr="00D4626C">
        <w:trPr>
          <w:trHeight w:val="354"/>
        </w:trPr>
        <w:tc>
          <w:tcPr>
            <w:tcW w:w="48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3</w:t>
            </w:r>
          </w:p>
        </w:tc>
        <w:tc>
          <w:tcPr>
            <w:tcW w:w="124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音乐学</w:t>
            </w:r>
          </w:p>
        </w:tc>
        <w:tc>
          <w:tcPr>
            <w:tcW w:w="1237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37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1.专业考试</w:t>
            </w:r>
          </w:p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2.视唱练耳</w:t>
            </w:r>
          </w:p>
        </w:tc>
        <w:tc>
          <w:tcPr>
            <w:tcW w:w="1229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  <w:tr w:rsidR="00E208F3" w:rsidTr="00D4626C">
        <w:trPr>
          <w:trHeight w:val="354"/>
        </w:trPr>
        <w:tc>
          <w:tcPr>
            <w:tcW w:w="48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4</w:t>
            </w:r>
          </w:p>
        </w:tc>
        <w:tc>
          <w:tcPr>
            <w:tcW w:w="1245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音乐、舞蹈教育</w:t>
            </w:r>
          </w:p>
        </w:tc>
        <w:tc>
          <w:tcPr>
            <w:tcW w:w="1237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237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  <w:tc>
          <w:tcPr>
            <w:tcW w:w="1698" w:type="dxa"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专业技能考试</w:t>
            </w:r>
          </w:p>
        </w:tc>
        <w:tc>
          <w:tcPr>
            <w:tcW w:w="1229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41" w:type="dxa"/>
            <w:vMerge/>
            <w:vAlign w:val="center"/>
          </w:tcPr>
          <w:p w:rsidR="00E208F3" w:rsidRDefault="00E208F3" w:rsidP="00D4626C">
            <w:pPr>
              <w:spacing w:line="56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</w:p>
        </w:tc>
      </w:tr>
    </w:tbl>
    <w:p w:rsidR="00E208F3" w:rsidRDefault="00E208F3" w:rsidP="00E208F3">
      <w:pPr>
        <w:spacing w:line="560" w:lineRule="exact"/>
        <w:ind w:firstLine="55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7.咨询和联系</w:t>
      </w:r>
    </w:p>
    <w:p w:rsidR="00E208F3" w:rsidRDefault="00E208F3" w:rsidP="00E208F3">
      <w:pPr>
        <w:spacing w:line="560" w:lineRule="exact"/>
        <w:ind w:firstLineChars="150" w:firstLine="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电话：0571-89808109  </w:t>
      </w:r>
    </w:p>
    <w:p w:rsidR="00E208F3" w:rsidRDefault="00E208F3" w:rsidP="00E208F3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联系人：季老师 </w:t>
      </w:r>
    </w:p>
    <w:p w:rsidR="00E208F3" w:rsidRDefault="00E208F3" w:rsidP="00E208F3">
      <w:pPr>
        <w:spacing w:line="56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办公室：行政楼611</w:t>
      </w:r>
    </w:p>
    <w:p w:rsidR="00E208F3" w:rsidRDefault="00E208F3" w:rsidP="00E208F3">
      <w:pPr>
        <w:spacing w:line="560" w:lineRule="exact"/>
        <w:ind w:firstLineChars="200" w:firstLine="640"/>
        <w:rPr>
          <w:rStyle w:val="a3"/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邮箱：</w:t>
      </w:r>
      <w:hyperlink r:id="rId4" w:history="1">
        <w:r>
          <w:rPr>
            <w:rStyle w:val="a3"/>
            <w:rFonts w:ascii="仿宋" w:eastAsia="仿宋" w:hAnsi="仿宋" w:cs="仿宋" w:hint="eastAsia"/>
            <w:sz w:val="32"/>
            <w:szCs w:val="32"/>
          </w:rPr>
          <w:t>61972892@qq.com</w:t>
        </w:r>
      </w:hyperlink>
    </w:p>
    <w:p w:rsidR="00E208F3" w:rsidRDefault="00E208F3" w:rsidP="00E208F3">
      <w:pPr>
        <w:spacing w:line="560" w:lineRule="exact"/>
        <w:ind w:firstLineChars="100" w:firstLine="32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、监督制约机制</w:t>
      </w:r>
    </w:p>
    <w:p w:rsidR="00E208F3" w:rsidRDefault="00E208F3" w:rsidP="00E208F3">
      <w:pPr>
        <w:spacing w:line="56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1.李叔同学院（筹）负责具体招生工作，学校纪检监察部门参与选拔工作的监督工作。</w:t>
      </w:r>
    </w:p>
    <w:p w:rsidR="00E208F3" w:rsidRDefault="00E208F3" w:rsidP="00E208F3">
      <w:pPr>
        <w:spacing w:line="56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2.为保证选拔工作的公平公正，学校成立专家评审组进行考核。选拔结果报分管院长审核，院长办公会议审定。</w:t>
      </w:r>
    </w:p>
    <w:p w:rsidR="00E208F3" w:rsidRDefault="00E208F3" w:rsidP="00E208F3">
      <w:pPr>
        <w:spacing w:line="560" w:lineRule="exact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3.申请者应本着“诚信”原则提供真实准确的报名申请材料。若弄虚作假，一经查实，立即取消入选资格。</w:t>
      </w:r>
    </w:p>
    <w:p w:rsidR="00127927" w:rsidRPr="00E208F3" w:rsidRDefault="00127927"/>
    <w:sectPr w:rsidR="00127927" w:rsidRPr="00E208F3" w:rsidSect="0009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08F3"/>
    <w:rsid w:val="00095183"/>
    <w:rsid w:val="00127927"/>
    <w:rsid w:val="00CE01E8"/>
    <w:rsid w:val="00E2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F3"/>
    <w:pPr>
      <w:widowControl w:val="0"/>
      <w:jc w:val="both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208F3"/>
    <w:rPr>
      <w:color w:val="0000FF"/>
      <w:u w:val="single"/>
    </w:rPr>
  </w:style>
  <w:style w:type="table" w:styleId="a4">
    <w:name w:val="Table Grid"/>
    <w:basedOn w:val="a1"/>
    <w:qFormat/>
    <w:rsid w:val="00E208F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unhideWhenUsed/>
    <w:qFormat/>
    <w:rsid w:val="00E208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1972892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618</Words>
  <Characters>3523</Characters>
  <Application>Microsoft Office Word</Application>
  <DocSecurity>0</DocSecurity>
  <Lines>29</Lines>
  <Paragraphs>8</Paragraphs>
  <ScaleCrop>false</ScaleCrop>
  <Company>微软中国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2018-03-12T06:51:00Z</dcterms:created>
  <dcterms:modified xsi:type="dcterms:W3CDTF">2018-03-12T06:52:00Z</dcterms:modified>
</cp:coreProperties>
</file>